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DEA7" w14:textId="77777777" w:rsidR="00B14052" w:rsidRPr="00926664" w:rsidRDefault="00B14052" w:rsidP="00926664">
      <w:pPr>
        <w:jc w:val="center"/>
        <w:rPr>
          <w:rFonts w:asciiTheme="minorHAnsi" w:hAnsiTheme="minorHAnsi" w:cstheme="minorHAnsi"/>
          <w:b/>
          <w:u w:val="single"/>
        </w:rPr>
      </w:pPr>
      <w:r w:rsidRPr="00926664">
        <w:rPr>
          <w:rFonts w:asciiTheme="minorHAnsi" w:hAnsiTheme="minorHAnsi" w:cstheme="minorHAnsi"/>
          <w:b/>
          <w:u w:val="single"/>
        </w:rPr>
        <w:t>SUPPLEMENTAL INFORMATION</w:t>
      </w:r>
    </w:p>
    <w:p w14:paraId="49E2DAF4" w14:textId="77777777" w:rsidR="00B14052" w:rsidRPr="003B3692" w:rsidRDefault="00B14052" w:rsidP="00B14052">
      <w:pPr>
        <w:rPr>
          <w:rFonts w:asciiTheme="minorHAnsi" w:hAnsiTheme="minorHAnsi" w:cstheme="minorHAnsi"/>
          <w:b/>
        </w:rPr>
      </w:pPr>
    </w:p>
    <w:p w14:paraId="1EF68E05" w14:textId="37010986" w:rsidR="00B14052" w:rsidRPr="00BE318E" w:rsidRDefault="00B14052" w:rsidP="00BD7A45">
      <w:pPr>
        <w:jc w:val="both"/>
      </w:pPr>
      <w:r w:rsidRPr="003B3692">
        <w:rPr>
          <w:rFonts w:asciiTheme="minorHAnsi" w:hAnsiTheme="minorHAnsi" w:cstheme="minorHAnsi"/>
          <w:color w:val="000000"/>
        </w:rPr>
        <w:t>The CM002 Component Methodology</w:t>
      </w:r>
      <w:r w:rsidR="00BD7A45">
        <w:rPr>
          <w:rFonts w:asciiTheme="minorHAnsi" w:hAnsiTheme="minorHAnsi" w:cstheme="minorHAnsi"/>
          <w:color w:val="000000"/>
        </w:rPr>
        <w:t>,</w:t>
      </w:r>
      <w:r w:rsidRPr="003B3692">
        <w:rPr>
          <w:rFonts w:asciiTheme="minorHAnsi" w:hAnsiTheme="minorHAnsi" w:cstheme="minorHAnsi"/>
          <w:color w:val="000000"/>
        </w:rPr>
        <w:t xml:space="preserve"> developed as a digital protocol on </w:t>
      </w:r>
      <w:r w:rsidR="00BE318E" w:rsidRPr="00BE318E">
        <w:rPr>
          <w:rFonts w:ascii="Calibri" w:hAnsi="Calibri" w:cs="Calibri"/>
          <w:color w:val="000000"/>
        </w:rPr>
        <w:t>AD Tech’s carbon removal accounting platform</w:t>
      </w:r>
      <w:r w:rsidRPr="003B3692">
        <w:rPr>
          <w:rFonts w:asciiTheme="minorHAnsi" w:hAnsiTheme="minorHAnsi" w:cstheme="minorHAnsi"/>
          <w:color w:val="000000"/>
        </w:rPr>
        <w:t>, provides the necessary standardized requirements and procedures for the quantification of GHG benefits following the production of biochar from waste biomass using low</w:t>
      </w:r>
      <w:r w:rsidR="00BD7A45">
        <w:rPr>
          <w:rFonts w:asciiTheme="minorHAnsi" w:hAnsiTheme="minorHAnsi" w:cstheme="minorHAnsi"/>
          <w:color w:val="000000"/>
        </w:rPr>
        <w:t>-</w:t>
      </w:r>
      <w:r w:rsidRPr="003B3692">
        <w:rPr>
          <w:rFonts w:asciiTheme="minorHAnsi" w:hAnsiTheme="minorHAnsi" w:cstheme="minorHAnsi"/>
          <w:color w:val="000000"/>
        </w:rPr>
        <w:t>technology kiln types. The digital CM002 protocol is in essence</w:t>
      </w:r>
      <w:r w:rsidR="00BD7A45">
        <w:rPr>
          <w:rFonts w:asciiTheme="minorHAnsi" w:hAnsiTheme="minorHAnsi" w:cstheme="minorHAnsi"/>
          <w:color w:val="000000"/>
        </w:rPr>
        <w:t>,</w:t>
      </w:r>
      <w:r w:rsidRPr="003B3692">
        <w:rPr>
          <w:rFonts w:asciiTheme="minorHAnsi" w:hAnsiTheme="minorHAnsi" w:cstheme="minorHAnsi"/>
          <w:color w:val="000000"/>
        </w:rPr>
        <w:t xml:space="preserve"> a step-by-step guide to biochar production, facilitated via the </w:t>
      </w:r>
      <w:r w:rsidR="00204988">
        <w:rPr>
          <w:rFonts w:asciiTheme="minorHAnsi" w:hAnsiTheme="minorHAnsi" w:cstheme="minorHAnsi"/>
          <w:color w:val="000000"/>
        </w:rPr>
        <w:t>p</w:t>
      </w:r>
      <w:r w:rsidRPr="003B3692">
        <w:rPr>
          <w:rFonts w:asciiTheme="minorHAnsi" w:hAnsiTheme="minorHAnsi" w:cstheme="minorHAnsi"/>
          <w:color w:val="000000"/>
        </w:rPr>
        <w:t>latform’s smartphone and web-based applications, that ensures easy baseline setting and additionality, planning, real-time data collection, monitoring</w:t>
      </w:r>
      <w:r w:rsidR="00BD7A45">
        <w:rPr>
          <w:rFonts w:asciiTheme="minorHAnsi" w:hAnsiTheme="minorHAnsi" w:cstheme="minorHAnsi"/>
          <w:color w:val="000000"/>
        </w:rPr>
        <w:t>,</w:t>
      </w:r>
      <w:r w:rsidRPr="003B3692">
        <w:rPr>
          <w:rFonts w:asciiTheme="minorHAnsi" w:hAnsiTheme="minorHAnsi" w:cstheme="minorHAnsi"/>
          <w:color w:val="000000"/>
        </w:rPr>
        <w:t xml:space="preserve"> and verification</w:t>
      </w:r>
      <w:r w:rsidR="00DF13F5">
        <w:rPr>
          <w:rFonts w:asciiTheme="minorHAnsi" w:hAnsiTheme="minorHAnsi" w:cstheme="minorHAnsi"/>
          <w:color w:val="000000"/>
        </w:rPr>
        <w:t xml:space="preserve">, </w:t>
      </w:r>
      <w:r>
        <w:rPr>
          <w:rFonts w:asciiTheme="minorHAnsi" w:hAnsiTheme="minorHAnsi" w:cstheme="minorHAnsi"/>
          <w:color w:val="000000"/>
        </w:rPr>
        <w:t xml:space="preserve">which </w:t>
      </w:r>
      <w:r w:rsidRPr="003B3692">
        <w:rPr>
          <w:rFonts w:asciiTheme="minorHAnsi" w:hAnsiTheme="minorHAnsi" w:cstheme="minorHAnsi"/>
          <w:color w:val="000000"/>
        </w:rPr>
        <w:t>in turn, can enable individuals and smaller projects to access the available climate change</w:t>
      </w:r>
      <w:r w:rsidR="00BD7A45">
        <w:rPr>
          <w:rFonts w:asciiTheme="minorHAnsi" w:hAnsiTheme="minorHAnsi" w:cstheme="minorHAnsi"/>
          <w:color w:val="000000"/>
        </w:rPr>
        <w:t>-</w:t>
      </w:r>
      <w:r w:rsidRPr="003B3692">
        <w:rPr>
          <w:rFonts w:asciiTheme="minorHAnsi" w:hAnsiTheme="minorHAnsi" w:cstheme="minorHAnsi"/>
          <w:color w:val="000000"/>
        </w:rPr>
        <w:t xml:space="preserve">related funding. </w:t>
      </w:r>
      <w:r>
        <w:rPr>
          <w:rFonts w:asciiTheme="minorHAnsi" w:hAnsiTheme="minorHAnsi" w:cstheme="minorHAnsi"/>
          <w:color w:val="000000"/>
        </w:rPr>
        <w:t>The</w:t>
      </w:r>
      <w:r w:rsidRPr="003B3692">
        <w:rPr>
          <w:rFonts w:asciiTheme="minorHAnsi" w:hAnsiTheme="minorHAnsi" w:cstheme="minorHAnsi"/>
          <w:color w:val="000000"/>
        </w:rPr>
        <w:t xml:space="preserve"> digital protocol assists in reducing the high costs and time associated with traditional monitoring, reporting</w:t>
      </w:r>
      <w:r w:rsidR="00BD7A45">
        <w:rPr>
          <w:rFonts w:asciiTheme="minorHAnsi" w:hAnsiTheme="minorHAnsi" w:cstheme="minorHAnsi"/>
          <w:color w:val="000000"/>
        </w:rPr>
        <w:t>,</w:t>
      </w:r>
      <w:r w:rsidRPr="003B3692">
        <w:rPr>
          <w:rFonts w:asciiTheme="minorHAnsi" w:hAnsiTheme="minorHAnsi" w:cstheme="minorHAnsi"/>
          <w:color w:val="000000"/>
        </w:rPr>
        <w:t xml:space="preserve"> and verification (MRV) while maintaining high levels of trust, transparency</w:t>
      </w:r>
      <w:r w:rsidR="00BD7A45">
        <w:rPr>
          <w:rFonts w:asciiTheme="minorHAnsi" w:hAnsiTheme="minorHAnsi" w:cstheme="minorHAnsi"/>
          <w:color w:val="000000"/>
        </w:rPr>
        <w:t>,</w:t>
      </w:r>
      <w:r w:rsidRPr="003B3692">
        <w:rPr>
          <w:rFonts w:asciiTheme="minorHAnsi" w:hAnsiTheme="minorHAnsi" w:cstheme="minorHAnsi"/>
          <w:color w:val="000000"/>
        </w:rPr>
        <w:t xml:space="preserve"> and traceability down to a batch and kiln level in real</w:t>
      </w:r>
      <w:r w:rsidR="00BD7A45">
        <w:rPr>
          <w:rFonts w:asciiTheme="minorHAnsi" w:hAnsiTheme="minorHAnsi" w:cstheme="minorHAnsi"/>
          <w:color w:val="000000"/>
        </w:rPr>
        <w:t xml:space="preserve"> </w:t>
      </w:r>
      <w:r w:rsidRPr="003B3692">
        <w:rPr>
          <w:rFonts w:asciiTheme="minorHAnsi" w:hAnsiTheme="minorHAnsi" w:cstheme="minorHAnsi"/>
          <w:color w:val="000000"/>
        </w:rPr>
        <w:t>time. This ultimately reduces the barrier to entry for smaller projects and creates a scalable solution. </w:t>
      </w:r>
    </w:p>
    <w:p w14:paraId="73B32550" w14:textId="77777777" w:rsidR="00B14052" w:rsidRPr="003B3692" w:rsidRDefault="00B14052" w:rsidP="00BD7A45">
      <w:pPr>
        <w:jc w:val="both"/>
        <w:rPr>
          <w:rFonts w:asciiTheme="minorHAnsi" w:hAnsiTheme="minorHAnsi" w:cstheme="minorHAnsi"/>
        </w:rPr>
      </w:pPr>
    </w:p>
    <w:p w14:paraId="3AAB638D" w14:textId="0CFBF0D8" w:rsidR="00B14052" w:rsidRPr="003B3692" w:rsidRDefault="00B14052" w:rsidP="00BD7A45">
      <w:pPr>
        <w:pStyle w:val="NormalWeb"/>
        <w:spacing w:before="0" w:beforeAutospacing="0" w:after="0" w:afterAutospacing="0"/>
        <w:jc w:val="both"/>
        <w:rPr>
          <w:rFonts w:asciiTheme="minorHAnsi" w:hAnsiTheme="minorHAnsi" w:cstheme="minorHAnsi"/>
        </w:rPr>
      </w:pPr>
      <w:r w:rsidRPr="003B3692">
        <w:rPr>
          <w:rFonts w:asciiTheme="minorHAnsi" w:hAnsiTheme="minorHAnsi" w:cstheme="minorHAnsi"/>
          <w:color w:val="000000"/>
        </w:rPr>
        <w:t>While the CM002 component methodology has been guided by Verra VM0044 and EBC Artisan C-Sink Standards, the methodology has been developed specifically for flame carboni</w:t>
      </w:r>
      <w:r w:rsidR="00204988">
        <w:rPr>
          <w:rFonts w:asciiTheme="minorHAnsi" w:hAnsiTheme="minorHAnsi" w:cstheme="minorHAnsi"/>
          <w:color w:val="000000"/>
        </w:rPr>
        <w:t>z</w:t>
      </w:r>
      <w:r w:rsidRPr="003B3692">
        <w:rPr>
          <w:rFonts w:asciiTheme="minorHAnsi" w:hAnsiTheme="minorHAnsi" w:cstheme="minorHAnsi"/>
          <w:color w:val="000000"/>
        </w:rPr>
        <w:t>ation of woody debris in</w:t>
      </w:r>
      <w:r w:rsidR="00204988">
        <w:rPr>
          <w:rFonts w:asciiTheme="minorHAnsi" w:hAnsiTheme="minorHAnsi" w:cstheme="minorHAnsi"/>
          <w:color w:val="000000"/>
        </w:rPr>
        <w:t xml:space="preserve"> forests,</w:t>
      </w:r>
      <w:r w:rsidRPr="003B3692">
        <w:rPr>
          <w:rFonts w:asciiTheme="minorHAnsi" w:hAnsiTheme="minorHAnsi" w:cstheme="minorHAnsi"/>
          <w:color w:val="000000"/>
        </w:rPr>
        <w:t xml:space="preserve"> woodlands, </w:t>
      </w:r>
      <w:r w:rsidR="00204988">
        <w:rPr>
          <w:rFonts w:asciiTheme="minorHAnsi" w:hAnsiTheme="minorHAnsi" w:cstheme="minorHAnsi"/>
          <w:color w:val="000000"/>
        </w:rPr>
        <w:t xml:space="preserve">and </w:t>
      </w:r>
      <w:r w:rsidRPr="003B3692">
        <w:rPr>
          <w:rFonts w:asciiTheme="minorHAnsi" w:hAnsiTheme="minorHAnsi" w:cstheme="minorHAnsi"/>
          <w:color w:val="000000"/>
        </w:rPr>
        <w:t>alien invasive tree management. The rationale behind this is two</w:t>
      </w:r>
      <w:r w:rsidR="00DF13F5">
        <w:rPr>
          <w:rFonts w:asciiTheme="minorHAnsi" w:hAnsiTheme="minorHAnsi" w:cstheme="minorHAnsi"/>
          <w:color w:val="000000"/>
        </w:rPr>
        <w:t>-</w:t>
      </w:r>
      <w:r w:rsidRPr="003B3692">
        <w:rPr>
          <w:rFonts w:asciiTheme="minorHAnsi" w:hAnsiTheme="minorHAnsi" w:cstheme="minorHAnsi"/>
          <w:color w:val="000000"/>
        </w:rPr>
        <w:t>fold: (1) While the Verra methodology does make provision for the aforementioned biomass feedstocks, it is mainly designed for high</w:t>
      </w:r>
      <w:r w:rsidR="00BD7A45">
        <w:rPr>
          <w:rFonts w:asciiTheme="minorHAnsi" w:hAnsiTheme="minorHAnsi" w:cstheme="minorHAnsi"/>
          <w:color w:val="000000"/>
        </w:rPr>
        <w:t>-</w:t>
      </w:r>
      <w:r w:rsidRPr="003B3692">
        <w:rPr>
          <w:rFonts w:asciiTheme="minorHAnsi" w:hAnsiTheme="minorHAnsi" w:cstheme="minorHAnsi"/>
          <w:color w:val="000000"/>
        </w:rPr>
        <w:t>technology biochar production facilities and deploys unnecessarily low discount factors for low</w:t>
      </w:r>
      <w:r w:rsidR="00BD7A45">
        <w:rPr>
          <w:rFonts w:asciiTheme="minorHAnsi" w:hAnsiTheme="minorHAnsi" w:cstheme="minorHAnsi"/>
          <w:color w:val="000000"/>
        </w:rPr>
        <w:t>-</w:t>
      </w:r>
      <w:r w:rsidRPr="003B3692">
        <w:rPr>
          <w:rFonts w:asciiTheme="minorHAnsi" w:hAnsiTheme="minorHAnsi" w:cstheme="minorHAnsi"/>
          <w:color w:val="000000"/>
        </w:rPr>
        <w:t>technology production facilities, negatively impacting the financial feasibility of low technology biochar production, (2) The EBC Artisan standard is designed for biochar production from agricultural residues in developing regions and thus omits woody biomass from vegetation/conservation management</w:t>
      </w:r>
      <w:r>
        <w:rPr>
          <w:rFonts w:asciiTheme="minorHAnsi" w:hAnsiTheme="minorHAnsi" w:cstheme="minorHAnsi"/>
          <w:color w:val="000000"/>
        </w:rPr>
        <w:t xml:space="preserve">. This restriction is important where the possibility exists of tree-cutting solely for the purpose of biochar production. However, disposal of woody debris is </w:t>
      </w:r>
      <w:r w:rsidRPr="003B3692">
        <w:rPr>
          <w:rFonts w:asciiTheme="minorHAnsi" w:hAnsiTheme="minorHAnsi" w:cstheme="minorHAnsi"/>
          <w:color w:val="000000"/>
        </w:rPr>
        <w:t>a vital activity that occurs globally to reduce the fuel load of forest and woodland landscapes under threat from drought and wildfires</w:t>
      </w:r>
      <w:r>
        <w:rPr>
          <w:rFonts w:asciiTheme="minorHAnsi" w:hAnsiTheme="minorHAnsi" w:cstheme="minorHAnsi"/>
          <w:color w:val="000000"/>
        </w:rPr>
        <w:t xml:space="preserve"> in order to</w:t>
      </w:r>
      <w:r w:rsidRPr="003B3692">
        <w:rPr>
          <w:rFonts w:asciiTheme="minorHAnsi" w:hAnsiTheme="minorHAnsi" w:cstheme="minorHAnsi"/>
          <w:color w:val="000000"/>
        </w:rPr>
        <w:t xml:space="preserve"> protect communities and ecosystems. </w:t>
      </w:r>
      <w:r>
        <w:rPr>
          <w:rFonts w:asciiTheme="minorHAnsi" w:hAnsiTheme="minorHAnsi" w:cstheme="minorHAnsi"/>
          <w:color w:val="000000"/>
        </w:rPr>
        <w:t xml:space="preserve">These materials are most commonly incinerated for disposal. Converting them to biochar instead is a clear benefit from both an environmental and a climate standpoint. </w:t>
      </w:r>
    </w:p>
    <w:p w14:paraId="5C16EADE" w14:textId="77777777" w:rsidR="00B14052" w:rsidRPr="003B3692" w:rsidRDefault="00B14052" w:rsidP="00B14052">
      <w:pPr>
        <w:rPr>
          <w:rFonts w:asciiTheme="minorHAnsi" w:hAnsiTheme="minorHAnsi" w:cstheme="minorHAnsi"/>
        </w:rPr>
      </w:pPr>
    </w:p>
    <w:p w14:paraId="763D2DE6" w14:textId="77777777" w:rsidR="00B14052" w:rsidRPr="003B3692" w:rsidRDefault="00B14052" w:rsidP="00B14052">
      <w:pPr>
        <w:pStyle w:val="NormalWeb"/>
        <w:spacing w:before="0" w:beforeAutospacing="0" w:after="0" w:afterAutospacing="0"/>
        <w:rPr>
          <w:rFonts w:asciiTheme="minorHAnsi" w:hAnsiTheme="minorHAnsi" w:cstheme="minorHAnsi"/>
        </w:rPr>
      </w:pPr>
      <w:r w:rsidRPr="003B3692">
        <w:rPr>
          <w:rFonts w:asciiTheme="minorHAnsi" w:hAnsiTheme="minorHAnsi" w:cstheme="minorHAnsi"/>
          <w:b/>
          <w:bCs/>
          <w:color w:val="000000"/>
        </w:rPr>
        <w:t>Digital Protocol</w:t>
      </w:r>
    </w:p>
    <w:p w14:paraId="2416B5EF" w14:textId="59659B6F" w:rsidR="00B14052" w:rsidRPr="003B3692" w:rsidRDefault="00B14052" w:rsidP="00B14052">
      <w:pPr>
        <w:pStyle w:val="NormalWeb"/>
        <w:spacing w:before="0" w:beforeAutospacing="0" w:after="0" w:afterAutospacing="0"/>
        <w:jc w:val="both"/>
        <w:rPr>
          <w:rFonts w:asciiTheme="minorHAnsi" w:hAnsiTheme="minorHAnsi" w:cstheme="minorHAnsi"/>
        </w:rPr>
      </w:pPr>
      <w:r w:rsidRPr="003B3692">
        <w:rPr>
          <w:rFonts w:asciiTheme="minorHAnsi" w:hAnsiTheme="minorHAnsi" w:cstheme="minorHAnsi"/>
          <w:color w:val="000000"/>
        </w:rPr>
        <w:t>The digitized CM002 component methodology has been designed to maximize biochar quantity and quality while minimizing emissions throughout the process, from the feedstock sourcing stage to the biochar application stage. Given that biochar production from low</w:t>
      </w:r>
      <w:r w:rsidR="00BD7A45">
        <w:rPr>
          <w:rFonts w:asciiTheme="minorHAnsi" w:hAnsiTheme="minorHAnsi" w:cstheme="minorHAnsi"/>
          <w:color w:val="000000"/>
        </w:rPr>
        <w:t>-</w:t>
      </w:r>
      <w:r w:rsidRPr="003B3692">
        <w:rPr>
          <w:rFonts w:asciiTheme="minorHAnsi" w:hAnsiTheme="minorHAnsi" w:cstheme="minorHAnsi"/>
          <w:color w:val="000000"/>
        </w:rPr>
        <w:t>technology kilns is a manual, labor</w:t>
      </w:r>
      <w:r w:rsidR="00BD7A45">
        <w:rPr>
          <w:rFonts w:asciiTheme="minorHAnsi" w:hAnsiTheme="minorHAnsi" w:cstheme="minorHAnsi"/>
          <w:color w:val="000000"/>
        </w:rPr>
        <w:t>-</w:t>
      </w:r>
      <w:r w:rsidRPr="003B3692">
        <w:rPr>
          <w:rFonts w:asciiTheme="minorHAnsi" w:hAnsiTheme="minorHAnsi" w:cstheme="minorHAnsi"/>
          <w:color w:val="000000"/>
        </w:rPr>
        <w:t xml:space="preserve">intensive process that </w:t>
      </w:r>
      <w:r w:rsidR="00BD7A45">
        <w:rPr>
          <w:rFonts w:asciiTheme="minorHAnsi" w:hAnsiTheme="minorHAnsi" w:cstheme="minorHAnsi"/>
          <w:color w:val="000000"/>
        </w:rPr>
        <w:t>typically occurs</w:t>
      </w:r>
      <w:r w:rsidRPr="003B3692">
        <w:rPr>
          <w:rFonts w:asciiTheme="minorHAnsi" w:hAnsiTheme="minorHAnsi" w:cstheme="minorHAnsi"/>
          <w:color w:val="000000"/>
        </w:rPr>
        <w:t xml:space="preserve"> in remote locations, the digital protocol prioritizes factors that can be controlled on the ground as well as key parameters that need to be collected and monitored in the field for accurate GHG benefit calculations. </w:t>
      </w:r>
    </w:p>
    <w:p w14:paraId="164E6286" w14:textId="77777777" w:rsidR="00B14052" w:rsidRPr="003B3692" w:rsidRDefault="00B14052" w:rsidP="00B14052">
      <w:pPr>
        <w:rPr>
          <w:rFonts w:asciiTheme="minorHAnsi" w:hAnsiTheme="minorHAnsi" w:cstheme="minorHAnsi"/>
        </w:rPr>
      </w:pPr>
    </w:p>
    <w:p w14:paraId="58267A35" w14:textId="77777777" w:rsidR="00B14052" w:rsidRPr="003B3692" w:rsidRDefault="00B14052" w:rsidP="00B14052">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The</w:t>
      </w:r>
      <w:r w:rsidRPr="003B3692">
        <w:rPr>
          <w:rFonts w:asciiTheme="minorHAnsi" w:hAnsiTheme="minorHAnsi" w:cstheme="minorHAnsi"/>
          <w:color w:val="000000"/>
        </w:rPr>
        <w:t xml:space="preserve"> digital protocol for field data collection and monitoring during the implementation of biochar production</w:t>
      </w:r>
      <w:r>
        <w:rPr>
          <w:rFonts w:asciiTheme="minorHAnsi" w:hAnsiTheme="minorHAnsi" w:cstheme="minorHAnsi"/>
          <w:color w:val="000000"/>
        </w:rPr>
        <w:t xml:space="preserve"> </w:t>
      </w:r>
      <w:r w:rsidRPr="003B3692">
        <w:rPr>
          <w:rFonts w:asciiTheme="minorHAnsi" w:hAnsiTheme="minorHAnsi" w:cstheme="minorHAnsi"/>
          <w:color w:val="000000"/>
        </w:rPr>
        <w:t>is split into three sequential stages: </w:t>
      </w:r>
      <w:r w:rsidRPr="003B3692">
        <w:rPr>
          <w:rFonts w:asciiTheme="minorHAnsi" w:hAnsiTheme="minorHAnsi" w:cstheme="minorHAnsi"/>
        </w:rPr>
        <w:br/>
      </w:r>
    </w:p>
    <w:p w14:paraId="572B20B0" w14:textId="77777777" w:rsidR="00B14052" w:rsidRPr="003B3692" w:rsidRDefault="00B14052" w:rsidP="00BD7A45">
      <w:pPr>
        <w:pStyle w:val="NormalWeb"/>
        <w:numPr>
          <w:ilvl w:val="0"/>
          <w:numId w:val="1"/>
        </w:numPr>
        <w:spacing w:before="0" w:beforeAutospacing="0" w:after="0" w:afterAutospacing="0"/>
        <w:ind w:left="567" w:firstLine="0"/>
        <w:jc w:val="both"/>
        <w:textAlignment w:val="baseline"/>
        <w:rPr>
          <w:rFonts w:asciiTheme="minorHAnsi" w:hAnsiTheme="minorHAnsi" w:cstheme="minorHAnsi"/>
          <w:color w:val="000000"/>
        </w:rPr>
      </w:pPr>
      <w:r w:rsidRPr="003B3692">
        <w:rPr>
          <w:rFonts w:asciiTheme="minorHAnsi" w:hAnsiTheme="minorHAnsi" w:cstheme="minorHAnsi"/>
          <w:color w:val="000000"/>
        </w:rPr>
        <w:t xml:space="preserve">Sourcing stage: Where the initial waste biomass is sourced, </w:t>
      </w:r>
      <w:proofErr w:type="gramStart"/>
      <w:r w:rsidRPr="003B3692">
        <w:rPr>
          <w:rFonts w:asciiTheme="minorHAnsi" w:hAnsiTheme="minorHAnsi" w:cstheme="minorHAnsi"/>
          <w:color w:val="000000"/>
        </w:rPr>
        <w:t>collected</w:t>
      </w:r>
      <w:proofErr w:type="gramEnd"/>
      <w:r w:rsidRPr="003B3692">
        <w:rPr>
          <w:rFonts w:asciiTheme="minorHAnsi" w:hAnsiTheme="minorHAnsi" w:cstheme="minorHAnsi"/>
          <w:color w:val="000000"/>
        </w:rPr>
        <w:t xml:space="preserve"> and prepared</w:t>
      </w:r>
      <w:r>
        <w:rPr>
          <w:rFonts w:asciiTheme="minorHAnsi" w:hAnsiTheme="minorHAnsi" w:cstheme="minorHAnsi"/>
          <w:color w:val="000000"/>
        </w:rPr>
        <w:t>.</w:t>
      </w:r>
    </w:p>
    <w:p w14:paraId="2C91ED2F" w14:textId="77777777" w:rsidR="00B14052" w:rsidRPr="003B3692" w:rsidRDefault="00B14052" w:rsidP="00BD7A45">
      <w:pPr>
        <w:pStyle w:val="NormalWeb"/>
        <w:numPr>
          <w:ilvl w:val="0"/>
          <w:numId w:val="1"/>
        </w:numPr>
        <w:spacing w:before="0" w:beforeAutospacing="0" w:after="0" w:afterAutospacing="0"/>
        <w:ind w:left="567" w:firstLine="0"/>
        <w:jc w:val="both"/>
        <w:textAlignment w:val="baseline"/>
        <w:rPr>
          <w:rFonts w:asciiTheme="minorHAnsi" w:hAnsiTheme="minorHAnsi" w:cstheme="minorHAnsi"/>
          <w:color w:val="000000"/>
        </w:rPr>
      </w:pPr>
      <w:r w:rsidRPr="003B3692">
        <w:rPr>
          <w:rFonts w:asciiTheme="minorHAnsi" w:hAnsiTheme="minorHAnsi" w:cstheme="minorHAnsi"/>
          <w:color w:val="000000"/>
        </w:rPr>
        <w:lastRenderedPageBreak/>
        <w:t>Production stage: Where waste biomass is carbonized through eligible low technology pyrolysis for the purpose of biochar production</w:t>
      </w:r>
      <w:r>
        <w:rPr>
          <w:rFonts w:asciiTheme="minorHAnsi" w:hAnsiTheme="minorHAnsi" w:cstheme="minorHAnsi"/>
          <w:color w:val="000000"/>
        </w:rPr>
        <w:t>.</w:t>
      </w:r>
    </w:p>
    <w:p w14:paraId="7544F777" w14:textId="77777777" w:rsidR="00B14052" w:rsidRPr="003B3692" w:rsidRDefault="00B14052" w:rsidP="00BD7A45">
      <w:pPr>
        <w:pStyle w:val="NormalWeb"/>
        <w:numPr>
          <w:ilvl w:val="0"/>
          <w:numId w:val="1"/>
        </w:numPr>
        <w:spacing w:before="0" w:beforeAutospacing="0" w:after="0" w:afterAutospacing="0"/>
        <w:ind w:left="567" w:firstLine="0"/>
        <w:jc w:val="both"/>
        <w:textAlignment w:val="baseline"/>
        <w:rPr>
          <w:rFonts w:asciiTheme="minorHAnsi" w:hAnsiTheme="minorHAnsi" w:cstheme="minorHAnsi"/>
          <w:color w:val="000000"/>
        </w:rPr>
      </w:pPr>
      <w:r w:rsidRPr="003B3692">
        <w:rPr>
          <w:rFonts w:asciiTheme="minorHAnsi" w:hAnsiTheme="minorHAnsi" w:cstheme="minorHAnsi"/>
          <w:color w:val="000000"/>
        </w:rPr>
        <w:t>Application stage: Where the biochar is applied in soils as a long-term carbon sink</w:t>
      </w:r>
      <w:r>
        <w:rPr>
          <w:rFonts w:asciiTheme="minorHAnsi" w:hAnsiTheme="minorHAnsi" w:cstheme="minorHAnsi"/>
          <w:color w:val="000000"/>
        </w:rPr>
        <w:t>.</w:t>
      </w:r>
    </w:p>
    <w:p w14:paraId="71D696CD" w14:textId="77777777" w:rsidR="00B14052" w:rsidRPr="003B3692" w:rsidRDefault="00B14052" w:rsidP="00B14052">
      <w:pPr>
        <w:rPr>
          <w:rFonts w:asciiTheme="minorHAnsi" w:hAnsiTheme="minorHAnsi" w:cstheme="minorHAnsi"/>
        </w:rPr>
      </w:pPr>
    </w:p>
    <w:p w14:paraId="50641901" w14:textId="6F0F30BB" w:rsidR="00B14052" w:rsidRPr="003B3692" w:rsidRDefault="00B14052" w:rsidP="00B14052">
      <w:pPr>
        <w:pStyle w:val="NormalWeb"/>
        <w:spacing w:before="0" w:beforeAutospacing="0" w:after="0" w:afterAutospacing="0"/>
        <w:rPr>
          <w:rFonts w:asciiTheme="minorHAnsi" w:hAnsiTheme="minorHAnsi" w:cstheme="minorHAnsi"/>
        </w:rPr>
      </w:pPr>
      <w:r w:rsidRPr="003B3692">
        <w:rPr>
          <w:rFonts w:asciiTheme="minorHAnsi" w:hAnsiTheme="minorHAnsi" w:cstheme="minorHAnsi"/>
          <w:color w:val="000000"/>
        </w:rPr>
        <w:t xml:space="preserve">Each stage has </w:t>
      </w:r>
      <w:proofErr w:type="gramStart"/>
      <w:r w:rsidRPr="003B3692">
        <w:rPr>
          <w:rFonts w:asciiTheme="minorHAnsi" w:hAnsiTheme="minorHAnsi" w:cstheme="minorHAnsi"/>
          <w:color w:val="000000"/>
        </w:rPr>
        <w:t>a number of</w:t>
      </w:r>
      <w:proofErr w:type="gramEnd"/>
      <w:r w:rsidRPr="003B3692">
        <w:rPr>
          <w:rFonts w:asciiTheme="minorHAnsi" w:hAnsiTheme="minorHAnsi" w:cstheme="minorHAnsi"/>
          <w:color w:val="000000"/>
        </w:rPr>
        <w:t xml:space="preserve"> key proof points which need to be submitted via the smartphone application in the form of either a photo, video</w:t>
      </w:r>
      <w:r w:rsidR="00BD7A45">
        <w:rPr>
          <w:rFonts w:asciiTheme="minorHAnsi" w:hAnsiTheme="minorHAnsi" w:cstheme="minorHAnsi"/>
          <w:color w:val="000000"/>
        </w:rPr>
        <w:t>,</w:t>
      </w:r>
      <w:r w:rsidRPr="003B3692">
        <w:rPr>
          <w:rFonts w:asciiTheme="minorHAnsi" w:hAnsiTheme="minorHAnsi" w:cstheme="minorHAnsi"/>
          <w:color w:val="000000"/>
        </w:rPr>
        <w:t xml:space="preserve"> or questio</w:t>
      </w:r>
      <w:r w:rsidR="005A491A">
        <w:rPr>
          <w:rFonts w:asciiTheme="minorHAnsi" w:hAnsiTheme="minorHAnsi" w:cstheme="minorHAnsi"/>
          <w:color w:val="000000"/>
        </w:rPr>
        <w:t>n</w:t>
      </w:r>
      <w:r w:rsidRPr="003B3692">
        <w:rPr>
          <w:rFonts w:asciiTheme="minorHAnsi" w:hAnsiTheme="minorHAnsi" w:cstheme="minorHAnsi"/>
          <w:color w:val="000000"/>
        </w:rPr>
        <w:t>naire. The digital software tracks the date, time</w:t>
      </w:r>
      <w:r w:rsidR="00BD7A45">
        <w:rPr>
          <w:rFonts w:asciiTheme="minorHAnsi" w:hAnsiTheme="minorHAnsi" w:cstheme="minorHAnsi"/>
          <w:color w:val="000000"/>
        </w:rPr>
        <w:t>,</w:t>
      </w:r>
      <w:r w:rsidRPr="003B3692">
        <w:rPr>
          <w:rFonts w:asciiTheme="minorHAnsi" w:hAnsiTheme="minorHAnsi" w:cstheme="minorHAnsi"/>
          <w:color w:val="000000"/>
        </w:rPr>
        <w:t xml:space="preserve"> and location of the data uploads, ensuring project credibility</w:t>
      </w:r>
      <w:proofErr w:type="gramStart"/>
      <w:r w:rsidRPr="003B3692">
        <w:rPr>
          <w:rFonts w:asciiTheme="minorHAnsi" w:hAnsiTheme="minorHAnsi" w:cstheme="minorHAnsi"/>
          <w:color w:val="000000"/>
        </w:rPr>
        <w:t>. </w:t>
      </w:r>
      <w:r w:rsidRPr="003B3692">
        <w:rPr>
          <w:rFonts w:asciiTheme="minorHAnsi" w:hAnsiTheme="minorHAnsi" w:cstheme="minorHAnsi"/>
        </w:rPr>
        <w:t xml:space="preserve"> </w:t>
      </w:r>
      <w:proofErr w:type="gramEnd"/>
    </w:p>
    <w:p w14:paraId="2B200FCF" w14:textId="77777777" w:rsidR="00B14052" w:rsidRPr="003B3692" w:rsidRDefault="00B14052" w:rsidP="00B14052">
      <w:pPr>
        <w:pStyle w:val="NormalWeb"/>
        <w:spacing w:before="0" w:beforeAutospacing="0" w:after="0" w:afterAutospacing="0"/>
        <w:rPr>
          <w:rFonts w:asciiTheme="minorHAnsi" w:hAnsiTheme="minorHAnsi" w:cstheme="minorHAnsi"/>
        </w:rPr>
      </w:pPr>
    </w:p>
    <w:p w14:paraId="080B46E1" w14:textId="607C3D1F" w:rsidR="00B14052" w:rsidRPr="00204988" w:rsidRDefault="00B14052" w:rsidP="00B14052">
      <w:pPr>
        <w:pStyle w:val="NormalWeb"/>
        <w:spacing w:before="0" w:beforeAutospacing="0" w:after="0" w:afterAutospacing="0"/>
        <w:jc w:val="both"/>
      </w:pPr>
      <w:r w:rsidRPr="003B3692">
        <w:rPr>
          <w:rFonts w:asciiTheme="minorHAnsi" w:hAnsiTheme="minorHAnsi" w:cstheme="minorHAnsi"/>
          <w:color w:val="000000"/>
        </w:rPr>
        <w:t xml:space="preserve">The information submitted is then stored in </w:t>
      </w:r>
      <w:r w:rsidR="00204988">
        <w:rPr>
          <w:rFonts w:asciiTheme="minorHAnsi" w:hAnsiTheme="minorHAnsi" w:cstheme="minorHAnsi"/>
          <w:color w:val="000000"/>
        </w:rPr>
        <w:t>a database</w:t>
      </w:r>
      <w:r w:rsidRPr="003B3692">
        <w:rPr>
          <w:rFonts w:asciiTheme="minorHAnsi" w:hAnsiTheme="minorHAnsi" w:cstheme="minorHAnsi"/>
          <w:color w:val="000000"/>
        </w:rPr>
        <w:t xml:space="preserve"> </w:t>
      </w:r>
      <w:r w:rsidR="00BD7A45">
        <w:rPr>
          <w:rFonts w:asciiTheme="minorHAnsi" w:hAnsiTheme="minorHAnsi" w:cstheme="minorHAnsi"/>
          <w:color w:val="000000"/>
        </w:rPr>
        <w:t>to calculate</w:t>
      </w:r>
      <w:r w:rsidRPr="003B3692">
        <w:rPr>
          <w:rFonts w:asciiTheme="minorHAnsi" w:hAnsiTheme="minorHAnsi" w:cstheme="minorHAnsi"/>
          <w:color w:val="000000"/>
        </w:rPr>
        <w:t xml:space="preserve"> the project’s net negative emissions. This final step can only be completed when the lab samples return from an accredited laboratory with the carbon content of biochar or if sufficient data is available in the database for a project’s feedstock and kiln type. </w:t>
      </w:r>
      <w:r w:rsidR="00204988" w:rsidRPr="00204988">
        <w:rPr>
          <w:rFonts w:ascii="Calibri" w:hAnsi="Calibri" w:cs="Calibri"/>
          <w:color w:val="000000"/>
        </w:rPr>
        <w:t xml:space="preserve">Once Biochar Carbon Removal Certificates are issued, they are added to </w:t>
      </w:r>
      <w:r w:rsidR="00204988">
        <w:rPr>
          <w:rFonts w:ascii="Calibri" w:hAnsi="Calibri" w:cs="Calibri"/>
          <w:color w:val="000000"/>
        </w:rPr>
        <w:t>a</w:t>
      </w:r>
      <w:r w:rsidR="00204988" w:rsidRPr="00204988">
        <w:rPr>
          <w:rFonts w:ascii="Calibri" w:hAnsi="Calibri" w:cs="Calibri"/>
          <w:color w:val="000000"/>
        </w:rPr>
        <w:t xml:space="preserve"> registry to ensure traceability, transparency</w:t>
      </w:r>
      <w:r w:rsidR="00BD7A45">
        <w:rPr>
          <w:rFonts w:ascii="Calibri" w:hAnsi="Calibri" w:cs="Calibri"/>
          <w:color w:val="000000"/>
        </w:rPr>
        <w:t>,</w:t>
      </w:r>
      <w:r w:rsidR="00204988" w:rsidRPr="00204988">
        <w:rPr>
          <w:rFonts w:ascii="Calibri" w:hAnsi="Calibri" w:cs="Calibri"/>
          <w:color w:val="000000"/>
        </w:rPr>
        <w:t xml:space="preserve"> and no double counting.</w:t>
      </w:r>
    </w:p>
    <w:p w14:paraId="33AACE93" w14:textId="77777777" w:rsidR="00B14052" w:rsidRPr="003B3692" w:rsidRDefault="00B14052" w:rsidP="00B14052">
      <w:pPr>
        <w:rPr>
          <w:rFonts w:asciiTheme="minorHAnsi" w:hAnsiTheme="minorHAnsi" w:cstheme="minorHAnsi"/>
        </w:rPr>
      </w:pPr>
    </w:p>
    <w:p w14:paraId="3AC3B704" w14:textId="77777777" w:rsidR="00B14052" w:rsidRPr="003B3692" w:rsidRDefault="00B14052" w:rsidP="00B14052">
      <w:pPr>
        <w:rPr>
          <w:rFonts w:asciiTheme="minorHAnsi" w:hAnsiTheme="minorHAnsi" w:cstheme="minorHAnsi"/>
        </w:rPr>
      </w:pPr>
      <w:r w:rsidRPr="003B3692">
        <w:rPr>
          <w:rFonts w:asciiTheme="minorHAnsi" w:hAnsiTheme="minorHAnsi" w:cstheme="minorHAnsi"/>
        </w:rPr>
        <w:t>The quantification of GHG benefits or net carbon dioxide removals associated with the project is calculated using the following simplified formula: </w:t>
      </w:r>
    </w:p>
    <w:p w14:paraId="0150F796" w14:textId="77777777" w:rsidR="00B14052" w:rsidRPr="003B3692" w:rsidRDefault="00B14052" w:rsidP="00B14052">
      <w:pPr>
        <w:rPr>
          <w:rFonts w:asciiTheme="minorHAnsi" w:hAnsiTheme="minorHAnsi" w:cstheme="minorHAnsi"/>
        </w:rPr>
      </w:pPr>
      <w:proofErr w:type="spellStart"/>
      <w:r w:rsidRPr="003B3692">
        <w:rPr>
          <w:rFonts w:asciiTheme="minorHAnsi" w:hAnsiTheme="minorHAnsi" w:cstheme="minorHAnsi"/>
        </w:rPr>
        <w:t>nCDR</w:t>
      </w:r>
      <w:r w:rsidRPr="003B3692">
        <w:rPr>
          <w:rFonts w:asciiTheme="minorHAnsi" w:hAnsiTheme="minorHAnsi" w:cstheme="minorHAnsi"/>
          <w:vertAlign w:val="subscript"/>
        </w:rPr>
        <w:t>p</w:t>
      </w:r>
      <w:proofErr w:type="spellEnd"/>
      <w:r w:rsidRPr="003B3692">
        <w:rPr>
          <w:rFonts w:asciiTheme="minorHAnsi" w:hAnsiTheme="minorHAnsi" w:cstheme="minorHAnsi"/>
        </w:rPr>
        <w:t xml:space="preserve"> = (</w:t>
      </w:r>
      <w:proofErr w:type="spellStart"/>
      <w:proofErr w:type="gramStart"/>
      <w:r w:rsidRPr="003B3692">
        <w:rPr>
          <w:rFonts w:asciiTheme="minorHAnsi" w:hAnsiTheme="minorHAnsi" w:cstheme="minorHAnsi"/>
        </w:rPr>
        <w:t>ER</w:t>
      </w:r>
      <w:r w:rsidRPr="003B3692">
        <w:rPr>
          <w:rFonts w:asciiTheme="minorHAnsi" w:hAnsiTheme="minorHAnsi" w:cstheme="minorHAnsi"/>
          <w:vertAlign w:val="subscript"/>
        </w:rPr>
        <w:t>PS,p</w:t>
      </w:r>
      <w:proofErr w:type="spellEnd"/>
      <w:proofErr w:type="gramEnd"/>
      <w:r w:rsidRPr="003B3692">
        <w:rPr>
          <w:rFonts w:asciiTheme="minorHAnsi" w:hAnsiTheme="minorHAnsi" w:cstheme="minorHAnsi"/>
          <w:vertAlign w:val="subscript"/>
        </w:rPr>
        <w:t xml:space="preserve">  </w:t>
      </w:r>
      <w:r w:rsidRPr="003B3692">
        <w:rPr>
          <w:rFonts w:asciiTheme="minorHAnsi" w:hAnsiTheme="minorHAnsi" w:cstheme="minorHAnsi"/>
        </w:rPr>
        <w:t>-</w:t>
      </w:r>
      <w:proofErr w:type="spellStart"/>
      <w:r w:rsidRPr="003B3692">
        <w:rPr>
          <w:rFonts w:asciiTheme="minorHAnsi" w:hAnsiTheme="minorHAnsi" w:cstheme="minorHAnsi"/>
        </w:rPr>
        <w:t>PE</w:t>
      </w:r>
      <w:r w:rsidRPr="003B3692">
        <w:rPr>
          <w:rFonts w:asciiTheme="minorHAnsi" w:hAnsiTheme="minorHAnsi" w:cstheme="minorHAnsi"/>
          <w:vertAlign w:val="subscript"/>
        </w:rPr>
        <w:t>PS,t,p</w:t>
      </w:r>
      <w:r w:rsidRPr="003B3692">
        <w:rPr>
          <w:rFonts w:asciiTheme="minorHAnsi" w:hAnsiTheme="minorHAnsi" w:cstheme="minorHAnsi"/>
        </w:rPr>
        <w:t>-PE</w:t>
      </w:r>
      <w:r w:rsidRPr="003B3692">
        <w:rPr>
          <w:rFonts w:asciiTheme="minorHAnsi" w:hAnsiTheme="minorHAnsi" w:cstheme="minorHAnsi"/>
          <w:vertAlign w:val="subscript"/>
        </w:rPr>
        <w:t>AS,p</w:t>
      </w:r>
      <w:r w:rsidRPr="003B3692">
        <w:rPr>
          <w:rFonts w:asciiTheme="minorHAnsi" w:hAnsiTheme="minorHAnsi" w:cstheme="minorHAnsi"/>
        </w:rPr>
        <w:t>-PE</w:t>
      </w:r>
      <w:r w:rsidRPr="003B3692">
        <w:rPr>
          <w:rFonts w:asciiTheme="minorHAnsi" w:hAnsiTheme="minorHAnsi" w:cstheme="minorHAnsi"/>
          <w:vertAlign w:val="subscript"/>
        </w:rPr>
        <w:t>SS,p</w:t>
      </w:r>
      <w:proofErr w:type="spellEnd"/>
      <w:r w:rsidRPr="003B3692">
        <w:rPr>
          <w:rFonts w:asciiTheme="minorHAnsi" w:hAnsiTheme="minorHAnsi" w:cstheme="minorHAnsi"/>
        </w:rPr>
        <w:t xml:space="preserve">) - </w:t>
      </w:r>
      <w:proofErr w:type="spellStart"/>
      <w:r w:rsidRPr="003B3692">
        <w:rPr>
          <w:rFonts w:asciiTheme="minorHAnsi" w:hAnsiTheme="minorHAnsi" w:cstheme="minorHAnsi"/>
        </w:rPr>
        <w:t>LE</w:t>
      </w:r>
      <w:r w:rsidRPr="003B3692">
        <w:rPr>
          <w:rFonts w:asciiTheme="minorHAnsi" w:hAnsiTheme="minorHAnsi" w:cstheme="minorHAnsi"/>
          <w:vertAlign w:val="subscript"/>
        </w:rPr>
        <w:t>p</w:t>
      </w:r>
      <w:proofErr w:type="spellEnd"/>
      <w:r w:rsidRPr="003B3692">
        <w:rPr>
          <w:rFonts w:asciiTheme="minorHAnsi" w:hAnsiTheme="minorHAnsi" w:cstheme="minorHAnsi"/>
        </w:rPr>
        <w:tab/>
      </w:r>
      <w:r w:rsidRPr="003B3692">
        <w:rPr>
          <w:rFonts w:asciiTheme="minorHAnsi" w:hAnsiTheme="minorHAnsi" w:cstheme="minorHAnsi"/>
        </w:rPr>
        <w:tab/>
      </w:r>
      <w:r w:rsidRPr="003B3692">
        <w:rPr>
          <w:rFonts w:asciiTheme="minorHAnsi" w:hAnsiTheme="minorHAnsi" w:cstheme="minorHAnsi"/>
        </w:rPr>
        <w:tab/>
      </w:r>
      <w:r w:rsidRPr="003B3692">
        <w:rPr>
          <w:rFonts w:asciiTheme="minorHAnsi" w:hAnsiTheme="minorHAnsi" w:cstheme="minorHAnsi"/>
        </w:rPr>
        <w:tab/>
      </w:r>
    </w:p>
    <w:p w14:paraId="1A36F4E2" w14:textId="77777777" w:rsidR="00B14052" w:rsidRPr="003B3692" w:rsidRDefault="00B14052" w:rsidP="00B14052">
      <w:pPr>
        <w:rPr>
          <w:rFonts w:asciiTheme="minorHAnsi" w:hAnsiTheme="minorHAnsi" w:cstheme="minorHAnsi"/>
        </w:rPr>
      </w:pPr>
      <w:r w:rsidRPr="003B3692">
        <w:rPr>
          <w:rFonts w:asciiTheme="minorHAnsi" w:hAnsiTheme="minorHAnsi" w:cstheme="minorHAnsi"/>
        </w:rPr>
        <w:t>Where: </w:t>
      </w:r>
    </w:p>
    <w:p w14:paraId="495D4F34" w14:textId="77777777" w:rsidR="00B14052" w:rsidRPr="003B3692" w:rsidRDefault="00B14052" w:rsidP="00BD7A45">
      <w:pPr>
        <w:ind w:left="709"/>
        <w:rPr>
          <w:rFonts w:asciiTheme="minorHAnsi" w:hAnsiTheme="minorHAnsi" w:cstheme="minorHAnsi"/>
        </w:rPr>
      </w:pPr>
      <w:proofErr w:type="spellStart"/>
      <w:r w:rsidRPr="003B3692">
        <w:rPr>
          <w:rFonts w:asciiTheme="minorHAnsi" w:hAnsiTheme="minorHAnsi" w:cstheme="minorHAnsi"/>
        </w:rPr>
        <w:t>nCDR</w:t>
      </w:r>
      <w:r w:rsidRPr="003B3692">
        <w:rPr>
          <w:rFonts w:asciiTheme="minorHAnsi" w:hAnsiTheme="minorHAnsi" w:cstheme="minorHAnsi"/>
          <w:vertAlign w:val="subscript"/>
        </w:rPr>
        <w:t>p</w:t>
      </w:r>
      <w:proofErr w:type="spellEnd"/>
      <w:r w:rsidRPr="003B3692">
        <w:rPr>
          <w:rFonts w:asciiTheme="minorHAnsi" w:hAnsiTheme="minorHAnsi" w:cstheme="minorHAnsi"/>
        </w:rPr>
        <w:tab/>
        <w:t>= Net carbon dioxide removal in project p (tCO</w:t>
      </w:r>
      <w:r w:rsidRPr="003B3692">
        <w:rPr>
          <w:rFonts w:asciiTheme="minorHAnsi" w:hAnsiTheme="minorHAnsi" w:cstheme="minorHAnsi"/>
          <w:vertAlign w:val="subscript"/>
        </w:rPr>
        <w:t>2</w:t>
      </w:r>
      <w:r w:rsidRPr="003B3692">
        <w:rPr>
          <w:rFonts w:asciiTheme="minorHAnsi" w:hAnsiTheme="minorHAnsi" w:cstheme="minorHAnsi"/>
        </w:rPr>
        <w:t>e)</w:t>
      </w:r>
    </w:p>
    <w:p w14:paraId="1BB45FB6" w14:textId="77777777" w:rsidR="00B14052" w:rsidRPr="003B3692" w:rsidRDefault="00B14052" w:rsidP="00BD7A45">
      <w:pPr>
        <w:ind w:left="709"/>
        <w:rPr>
          <w:rFonts w:asciiTheme="minorHAnsi" w:hAnsiTheme="minorHAnsi" w:cstheme="minorHAnsi"/>
        </w:rPr>
      </w:pPr>
      <w:proofErr w:type="spellStart"/>
      <w:proofErr w:type="gramStart"/>
      <w:r w:rsidRPr="003B3692">
        <w:rPr>
          <w:rFonts w:asciiTheme="minorHAnsi" w:hAnsiTheme="minorHAnsi" w:cstheme="minorHAnsi"/>
        </w:rPr>
        <w:t>PE</w:t>
      </w:r>
      <w:r w:rsidRPr="003B3692">
        <w:rPr>
          <w:rFonts w:asciiTheme="minorHAnsi" w:hAnsiTheme="minorHAnsi" w:cstheme="minorHAnsi"/>
          <w:vertAlign w:val="subscript"/>
        </w:rPr>
        <w:t>SS,p</w:t>
      </w:r>
      <w:proofErr w:type="spellEnd"/>
      <w:proofErr w:type="gramEnd"/>
      <w:r w:rsidRPr="003B3692">
        <w:rPr>
          <w:rFonts w:asciiTheme="minorHAnsi" w:hAnsiTheme="minorHAnsi" w:cstheme="minorHAnsi"/>
          <w:vertAlign w:val="subscript"/>
        </w:rPr>
        <w:t xml:space="preserve"> </w:t>
      </w:r>
      <w:r w:rsidRPr="003B3692">
        <w:rPr>
          <w:rFonts w:asciiTheme="minorHAnsi" w:hAnsiTheme="minorHAnsi" w:cstheme="minorHAnsi"/>
        </w:rPr>
        <w:tab/>
        <w:t>= Project emissions sourcing stage in project p (tCO</w:t>
      </w:r>
      <w:r w:rsidRPr="003B3692">
        <w:rPr>
          <w:rFonts w:asciiTheme="minorHAnsi" w:hAnsiTheme="minorHAnsi" w:cstheme="minorHAnsi"/>
          <w:vertAlign w:val="subscript"/>
        </w:rPr>
        <w:t>2</w:t>
      </w:r>
      <w:r w:rsidRPr="003B3692">
        <w:rPr>
          <w:rFonts w:asciiTheme="minorHAnsi" w:hAnsiTheme="minorHAnsi" w:cstheme="minorHAnsi"/>
        </w:rPr>
        <w:t>e)</w:t>
      </w:r>
    </w:p>
    <w:p w14:paraId="71C894CB" w14:textId="77777777" w:rsidR="00B14052" w:rsidRPr="003B3692" w:rsidRDefault="00B14052" w:rsidP="00BD7A45">
      <w:pPr>
        <w:ind w:left="709"/>
        <w:rPr>
          <w:rFonts w:asciiTheme="minorHAnsi" w:hAnsiTheme="minorHAnsi" w:cstheme="minorHAnsi"/>
        </w:rPr>
      </w:pPr>
      <w:proofErr w:type="spellStart"/>
      <w:proofErr w:type="gramStart"/>
      <w:r w:rsidRPr="003B3692">
        <w:rPr>
          <w:rFonts w:asciiTheme="minorHAnsi" w:hAnsiTheme="minorHAnsi" w:cstheme="minorHAnsi"/>
        </w:rPr>
        <w:t>ER</w:t>
      </w:r>
      <w:r w:rsidRPr="003B3692">
        <w:rPr>
          <w:rFonts w:asciiTheme="minorHAnsi" w:hAnsiTheme="minorHAnsi" w:cstheme="minorHAnsi"/>
          <w:vertAlign w:val="subscript"/>
        </w:rPr>
        <w:t>PS,p</w:t>
      </w:r>
      <w:proofErr w:type="spellEnd"/>
      <w:proofErr w:type="gramEnd"/>
      <w:r w:rsidRPr="003B3692">
        <w:rPr>
          <w:rFonts w:asciiTheme="minorHAnsi" w:hAnsiTheme="minorHAnsi" w:cstheme="minorHAnsi"/>
          <w:vertAlign w:val="subscript"/>
        </w:rPr>
        <w:t xml:space="preserve"> </w:t>
      </w:r>
      <w:r w:rsidRPr="003B3692">
        <w:rPr>
          <w:rFonts w:asciiTheme="minorHAnsi" w:hAnsiTheme="minorHAnsi" w:cstheme="minorHAnsi"/>
        </w:rPr>
        <w:tab/>
        <w:t>= GHG emissions removals at production stage in project p (tCO</w:t>
      </w:r>
      <w:r w:rsidRPr="003B3692">
        <w:rPr>
          <w:rFonts w:asciiTheme="minorHAnsi" w:hAnsiTheme="minorHAnsi" w:cstheme="minorHAnsi"/>
          <w:vertAlign w:val="subscript"/>
        </w:rPr>
        <w:t>2</w:t>
      </w:r>
      <w:r w:rsidRPr="003B3692">
        <w:rPr>
          <w:rFonts w:asciiTheme="minorHAnsi" w:hAnsiTheme="minorHAnsi" w:cstheme="minorHAnsi"/>
        </w:rPr>
        <w:t>e)</w:t>
      </w:r>
    </w:p>
    <w:p w14:paraId="37011B1F" w14:textId="77777777" w:rsidR="00B14052" w:rsidRPr="003B3692" w:rsidRDefault="00B14052" w:rsidP="00BD7A45">
      <w:pPr>
        <w:ind w:left="709"/>
        <w:rPr>
          <w:rFonts w:asciiTheme="minorHAnsi" w:hAnsiTheme="minorHAnsi" w:cstheme="minorHAnsi"/>
        </w:rPr>
      </w:pPr>
      <w:proofErr w:type="spellStart"/>
      <w:proofErr w:type="gramStart"/>
      <w:r w:rsidRPr="003B3692">
        <w:rPr>
          <w:rFonts w:asciiTheme="minorHAnsi" w:hAnsiTheme="minorHAnsi" w:cstheme="minorHAnsi"/>
        </w:rPr>
        <w:t>PE</w:t>
      </w:r>
      <w:r w:rsidRPr="003B3692">
        <w:rPr>
          <w:rFonts w:asciiTheme="minorHAnsi" w:hAnsiTheme="minorHAnsi" w:cstheme="minorHAnsi"/>
          <w:vertAlign w:val="subscript"/>
        </w:rPr>
        <w:t>AS,p</w:t>
      </w:r>
      <w:proofErr w:type="spellEnd"/>
      <w:proofErr w:type="gramEnd"/>
      <w:r w:rsidRPr="003B3692">
        <w:rPr>
          <w:rFonts w:asciiTheme="minorHAnsi" w:hAnsiTheme="minorHAnsi" w:cstheme="minorHAnsi"/>
        </w:rPr>
        <w:tab/>
        <w:t>= Project emissions at application stage in project p (tCO</w:t>
      </w:r>
      <w:r w:rsidRPr="003B3692">
        <w:rPr>
          <w:rFonts w:asciiTheme="minorHAnsi" w:hAnsiTheme="minorHAnsi" w:cstheme="minorHAnsi"/>
          <w:vertAlign w:val="subscript"/>
        </w:rPr>
        <w:t>2</w:t>
      </w:r>
      <w:r w:rsidRPr="003B3692">
        <w:rPr>
          <w:rFonts w:asciiTheme="minorHAnsi" w:hAnsiTheme="minorHAnsi" w:cstheme="minorHAnsi"/>
        </w:rPr>
        <w:t>e)</w:t>
      </w:r>
    </w:p>
    <w:p w14:paraId="407A32FA" w14:textId="77777777" w:rsidR="00B14052" w:rsidRPr="003B3692" w:rsidRDefault="00B14052" w:rsidP="00BD7A45">
      <w:pPr>
        <w:ind w:left="709"/>
        <w:rPr>
          <w:rFonts w:asciiTheme="minorHAnsi" w:hAnsiTheme="minorHAnsi" w:cstheme="minorHAnsi"/>
        </w:rPr>
      </w:pPr>
      <w:proofErr w:type="spellStart"/>
      <w:r w:rsidRPr="003B3692">
        <w:rPr>
          <w:rFonts w:asciiTheme="minorHAnsi" w:hAnsiTheme="minorHAnsi" w:cstheme="minorHAnsi"/>
        </w:rPr>
        <w:t>LE</w:t>
      </w:r>
      <w:r w:rsidRPr="003B3692">
        <w:rPr>
          <w:rFonts w:asciiTheme="minorHAnsi" w:hAnsiTheme="minorHAnsi" w:cstheme="minorHAnsi"/>
          <w:vertAlign w:val="subscript"/>
        </w:rPr>
        <w:t>p</w:t>
      </w:r>
      <w:proofErr w:type="spellEnd"/>
      <w:r w:rsidRPr="003B3692">
        <w:rPr>
          <w:rFonts w:asciiTheme="minorHAnsi" w:hAnsiTheme="minorHAnsi" w:cstheme="minorHAnsi"/>
        </w:rPr>
        <w:tab/>
        <w:t>= Total leakage emissions in project p (tCO</w:t>
      </w:r>
      <w:r w:rsidRPr="003B3692">
        <w:rPr>
          <w:rFonts w:asciiTheme="minorHAnsi" w:hAnsiTheme="minorHAnsi" w:cstheme="minorHAnsi"/>
          <w:vertAlign w:val="subscript"/>
        </w:rPr>
        <w:t>2</w:t>
      </w:r>
      <w:r w:rsidRPr="003B3692">
        <w:rPr>
          <w:rFonts w:asciiTheme="minorHAnsi" w:hAnsiTheme="minorHAnsi" w:cstheme="minorHAnsi"/>
        </w:rPr>
        <w:t>e)</w:t>
      </w:r>
    </w:p>
    <w:p w14:paraId="2B027BEF" w14:textId="77777777" w:rsidR="00B14052" w:rsidRPr="003B3692" w:rsidRDefault="00B14052" w:rsidP="00B14052">
      <w:pPr>
        <w:rPr>
          <w:rFonts w:asciiTheme="minorHAnsi" w:hAnsiTheme="minorHAnsi" w:cstheme="minorHAnsi"/>
        </w:rPr>
      </w:pPr>
      <w:bookmarkStart w:id="0" w:name="_heading=h.lo2424d4f7we" w:colFirst="0" w:colLast="0"/>
      <w:bookmarkEnd w:id="0"/>
    </w:p>
    <w:p w14:paraId="63EA8DC5" w14:textId="714649BF" w:rsidR="00204988" w:rsidRPr="00204988" w:rsidRDefault="00204988" w:rsidP="00204988">
      <w:r w:rsidRPr="00204988">
        <w:rPr>
          <w:rFonts w:ascii="Calibri" w:hAnsi="Calibri" w:cs="Calibri"/>
          <w:b/>
          <w:bCs/>
          <w:color w:val="000000"/>
        </w:rPr>
        <w:t xml:space="preserve">Funding </w:t>
      </w:r>
      <w:r w:rsidR="00BD7A45" w:rsidRPr="00204988">
        <w:rPr>
          <w:rFonts w:ascii="Calibri" w:hAnsi="Calibri" w:cs="Calibri"/>
          <w:b/>
          <w:bCs/>
          <w:color w:val="000000"/>
        </w:rPr>
        <w:t>biochar production activities</w:t>
      </w:r>
    </w:p>
    <w:p w14:paraId="384DACC9" w14:textId="374B8677" w:rsidR="00204988" w:rsidRPr="00204988" w:rsidRDefault="00204988" w:rsidP="00204988">
      <w:pPr>
        <w:jc w:val="both"/>
      </w:pPr>
      <w:r w:rsidRPr="00204988">
        <w:rPr>
          <w:rFonts w:ascii="Calibri" w:hAnsi="Calibri" w:cs="Calibri"/>
          <w:color w:val="000000"/>
        </w:rPr>
        <w:t>The D-MRV results provided by AD Tech’s platform can be instrumental in securing finance or funding for biochar production projects. These results, which quantify the GHG benefits of biochar production, serve as a reliable and verifiable data source that can be presented to potential funders. In the evolving landscape of carbon removal, such data is invaluable. It provides a solid foundation for projects to demonstrate their environmental impact and sustainability, thereby attracting funding from companies, governments, municipalities, conservation groups, and other entities interested in supporting environmentally sustainable practices.</w:t>
      </w:r>
    </w:p>
    <w:p w14:paraId="16EA7C47" w14:textId="77777777" w:rsidR="00204988" w:rsidRPr="00204988" w:rsidRDefault="00204988" w:rsidP="00204988"/>
    <w:p w14:paraId="3CAE80CA" w14:textId="4D3F1196" w:rsidR="00204988" w:rsidRPr="00204988" w:rsidRDefault="00204988" w:rsidP="00204988">
      <w:pPr>
        <w:jc w:val="both"/>
      </w:pPr>
      <w:r w:rsidRPr="00204988">
        <w:rPr>
          <w:rFonts w:ascii="Calibri" w:hAnsi="Calibri" w:cs="Calibri"/>
          <w:color w:val="000000"/>
        </w:rPr>
        <w:t>However, navigating this changing landscape to find funding requires a strategic approach</w:t>
      </w:r>
      <w:r w:rsidR="00BD7A45">
        <w:rPr>
          <w:rFonts w:ascii="Calibri" w:hAnsi="Calibri" w:cs="Calibri"/>
          <w:color w:val="000000"/>
        </w:rPr>
        <w:t>,</w:t>
      </w:r>
      <w:r w:rsidRPr="00204988">
        <w:rPr>
          <w:rFonts w:ascii="Calibri" w:hAnsi="Calibri" w:cs="Calibri"/>
          <w:color w:val="000000"/>
        </w:rPr>
        <w:t xml:space="preserve"> and selling “carbon credits” is one of the most complicated models available. One effective method is to engage with local entities that can fund biochar production at a project level, </w:t>
      </w:r>
      <w:r>
        <w:rPr>
          <w:rFonts w:ascii="Calibri" w:hAnsi="Calibri" w:cs="Calibri"/>
          <w:color w:val="000000"/>
        </w:rPr>
        <w:t>where</w:t>
      </w:r>
      <w:r w:rsidRPr="00204988">
        <w:rPr>
          <w:rFonts w:ascii="Calibri" w:hAnsi="Calibri" w:cs="Calibri"/>
          <w:color w:val="000000"/>
        </w:rPr>
        <w:t xml:space="preserve"> they have a mandate to reduce wildfire risks, reduce GHG emissions</w:t>
      </w:r>
      <w:r>
        <w:rPr>
          <w:rFonts w:ascii="Calibri" w:hAnsi="Calibri" w:cs="Calibri"/>
          <w:color w:val="000000"/>
        </w:rPr>
        <w:t xml:space="preserve"> or improve soil health</w:t>
      </w:r>
      <w:r w:rsidRPr="00204988">
        <w:rPr>
          <w:rFonts w:ascii="Calibri" w:hAnsi="Calibri" w:cs="Calibri"/>
          <w:color w:val="000000"/>
        </w:rPr>
        <w:t>. This "carbon in</w:t>
      </w:r>
      <w:r>
        <w:rPr>
          <w:rFonts w:ascii="Calibri" w:hAnsi="Calibri" w:cs="Calibri"/>
          <w:color w:val="000000"/>
        </w:rPr>
        <w:t>-</w:t>
      </w:r>
      <w:r w:rsidRPr="00204988">
        <w:rPr>
          <w:rFonts w:ascii="Calibri" w:hAnsi="Calibri" w:cs="Calibri"/>
          <w:color w:val="000000"/>
        </w:rPr>
        <w:t xml:space="preserve">setting" model allows these entities to directly contribute to the biochar carbon removal in their ecosystem or value chain, while also reducing the costs associated with due diligence. For example, a local municipality, can fund the additional biochar production activities and "claim" the carbon removal benefits unlocked through their funding. </w:t>
      </w:r>
    </w:p>
    <w:p w14:paraId="0D8FACCA" w14:textId="77777777" w:rsidR="00204988" w:rsidRPr="00204988" w:rsidRDefault="00204988" w:rsidP="00204988"/>
    <w:p w14:paraId="58B7B053" w14:textId="696B4C38" w:rsidR="00204988" w:rsidRDefault="00204988" w:rsidP="00204988">
      <w:pPr>
        <w:pStyle w:val="NormalWeb"/>
        <w:spacing w:before="0" w:beforeAutospacing="0" w:after="0" w:afterAutospacing="0"/>
        <w:jc w:val="both"/>
        <w:rPr>
          <w:rFonts w:ascii="Calibri" w:hAnsi="Calibri" w:cs="Calibri"/>
          <w:color w:val="000000"/>
        </w:rPr>
      </w:pPr>
      <w:r>
        <w:rPr>
          <w:rFonts w:ascii="Calibri" w:hAnsi="Calibri" w:cs="Calibri"/>
          <w:color w:val="000000"/>
        </w:rPr>
        <w:lastRenderedPageBreak/>
        <w:t xml:space="preserve">Alternatively, projects can collaborate with carbon marketplaces that can sell the carbon removal certificates after they have been verified. However, this approach often requires upfront funding commitments since biochar producers cannot fund these additional biochar activities themselves. This is where innovative funding models like the </w:t>
      </w:r>
      <w:proofErr w:type="spellStart"/>
      <w:r>
        <w:rPr>
          <w:rFonts w:ascii="Calibri" w:hAnsi="Calibri" w:cs="Calibri"/>
          <w:color w:val="000000"/>
        </w:rPr>
        <w:t>Puro.earth</w:t>
      </w:r>
      <w:proofErr w:type="spellEnd"/>
      <w:r>
        <w:rPr>
          <w:rFonts w:ascii="Calibri" w:hAnsi="Calibri" w:cs="Calibri"/>
          <w:color w:val="000000"/>
        </w:rPr>
        <w:t xml:space="preserve"> pre-CORC funding can be beneficial. In this model, projects can estimate the carbon removal certificates they will be willing or able to deliver, and funders can view and commit to the project at a set price. Once the results are reported and verified, the funding w</w:t>
      </w:r>
      <w:r w:rsidR="00BD7A45">
        <w:rPr>
          <w:rFonts w:ascii="Calibri" w:hAnsi="Calibri" w:cs="Calibri"/>
          <w:color w:val="000000"/>
        </w:rPr>
        <w:t>ill</w:t>
      </w:r>
      <w:r>
        <w:rPr>
          <w:rFonts w:ascii="Calibri" w:hAnsi="Calibri" w:cs="Calibri"/>
          <w:color w:val="000000"/>
        </w:rPr>
        <w:t xml:space="preserve"> be paid to the project</w:t>
      </w:r>
      <w:proofErr w:type="gramStart"/>
      <w:r>
        <w:rPr>
          <w:rFonts w:ascii="Calibri" w:hAnsi="Calibri" w:cs="Calibri"/>
          <w:color w:val="000000"/>
        </w:rPr>
        <w:t>.  </w:t>
      </w:r>
      <w:proofErr w:type="gramEnd"/>
    </w:p>
    <w:p w14:paraId="3AF59277" w14:textId="77777777" w:rsidR="00204988" w:rsidRDefault="00204988" w:rsidP="00204988">
      <w:pPr>
        <w:pStyle w:val="NormalWeb"/>
        <w:spacing w:before="0" w:beforeAutospacing="0" w:after="0" w:afterAutospacing="0"/>
        <w:jc w:val="both"/>
      </w:pPr>
    </w:p>
    <w:p w14:paraId="4D63C8C7" w14:textId="29539E0B" w:rsidR="00204988" w:rsidRDefault="00204988" w:rsidP="00204988">
      <w:pPr>
        <w:pStyle w:val="NormalWeb"/>
        <w:spacing w:before="0" w:beforeAutospacing="0" w:after="0" w:afterAutospacing="0"/>
      </w:pPr>
      <w:r>
        <w:rPr>
          <w:rFonts w:ascii="Calibri" w:hAnsi="Calibri" w:cs="Calibri"/>
          <w:color w:val="000000"/>
        </w:rPr>
        <w:t>The results from the D-MRV process provide data on Biochar Carbon Removal</w:t>
      </w:r>
      <w:r w:rsidR="00BD7A45">
        <w:rPr>
          <w:rFonts w:ascii="Calibri" w:hAnsi="Calibri" w:cs="Calibri"/>
          <w:color w:val="000000"/>
        </w:rPr>
        <w:t>,</w:t>
      </w:r>
      <w:r>
        <w:rPr>
          <w:rFonts w:ascii="Calibri" w:hAnsi="Calibri" w:cs="Calibri"/>
          <w:color w:val="000000"/>
        </w:rPr>
        <w:t xml:space="preserve"> which needs to align with international best practice “carbon credit” principles, which are:</w:t>
      </w:r>
      <w:r>
        <w:br/>
      </w:r>
    </w:p>
    <w:p w14:paraId="7306A5F2" w14:textId="0726E36C" w:rsidR="00204988" w:rsidRPr="00204988" w:rsidRDefault="00204988" w:rsidP="00204988">
      <w:pPr>
        <w:pStyle w:val="NormalWeb"/>
        <w:numPr>
          <w:ilvl w:val="0"/>
          <w:numId w:val="9"/>
        </w:numPr>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Unique. </w:t>
      </w:r>
      <w:r w:rsidRPr="00204988">
        <w:rPr>
          <w:rFonts w:ascii="Calibri" w:hAnsi="Calibri" w:cs="Calibri"/>
          <w:color w:val="000000"/>
        </w:rPr>
        <w:t>It should be ensured that biochar carbon removals are unique, with no double counting, issuing, usage, or claiming being permitted.</w:t>
      </w:r>
    </w:p>
    <w:p w14:paraId="1E4B7AC1" w14:textId="307B77EA" w:rsidR="00204988" w:rsidRPr="00204988" w:rsidRDefault="00204988" w:rsidP="00204988">
      <w:pPr>
        <w:pStyle w:val="NormalWeb"/>
        <w:numPr>
          <w:ilvl w:val="0"/>
          <w:numId w:val="9"/>
        </w:numPr>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Real. </w:t>
      </w:r>
      <w:r w:rsidRPr="00204988">
        <w:rPr>
          <w:rFonts w:ascii="Calibri" w:hAnsi="Calibri" w:cs="Calibri"/>
          <w:color w:val="000000"/>
        </w:rPr>
        <w:t>It should be ensured that all removals are real</w:t>
      </w:r>
      <w:r>
        <w:rPr>
          <w:rFonts w:ascii="Calibri" w:hAnsi="Calibri" w:cs="Calibri"/>
          <w:color w:val="000000"/>
        </w:rPr>
        <w:t>,</w:t>
      </w:r>
      <w:r w:rsidRPr="00204988">
        <w:rPr>
          <w:rFonts w:ascii="Calibri" w:hAnsi="Calibri" w:cs="Calibri"/>
          <w:color w:val="000000"/>
        </w:rPr>
        <w:t xml:space="preserve"> measured</w:t>
      </w:r>
      <w:r>
        <w:rPr>
          <w:rFonts w:ascii="Calibri" w:hAnsi="Calibri" w:cs="Calibri"/>
          <w:color w:val="000000"/>
        </w:rPr>
        <w:t>,</w:t>
      </w:r>
      <w:r w:rsidRPr="00204988">
        <w:rPr>
          <w:rFonts w:ascii="Calibri" w:hAnsi="Calibri" w:cs="Calibri"/>
          <w:color w:val="000000"/>
        </w:rPr>
        <w:t xml:space="preserve"> monitored, and verified post-event.</w:t>
      </w:r>
    </w:p>
    <w:p w14:paraId="32BA76CA" w14:textId="7F2661DC" w:rsidR="00204988" w:rsidRPr="00204988" w:rsidRDefault="00204988" w:rsidP="00204988">
      <w:pPr>
        <w:pStyle w:val="NormalWeb"/>
        <w:numPr>
          <w:ilvl w:val="0"/>
          <w:numId w:val="9"/>
        </w:numPr>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Permanence. </w:t>
      </w:r>
      <w:r w:rsidRPr="00204988">
        <w:rPr>
          <w:rFonts w:ascii="Calibri" w:hAnsi="Calibri" w:cs="Calibri"/>
          <w:color w:val="000000"/>
        </w:rPr>
        <w:t>Biochar removal certificates should be issued for removals that are permanent.</w:t>
      </w:r>
    </w:p>
    <w:p w14:paraId="68BB9B6B" w14:textId="262EDE56" w:rsidR="00204988" w:rsidRPr="00204988" w:rsidRDefault="00204988" w:rsidP="00204988">
      <w:pPr>
        <w:pStyle w:val="NormalWeb"/>
        <w:numPr>
          <w:ilvl w:val="0"/>
          <w:numId w:val="9"/>
        </w:numPr>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Additionality. </w:t>
      </w:r>
      <w:r w:rsidRPr="00204988">
        <w:rPr>
          <w:rFonts w:ascii="Calibri" w:hAnsi="Calibri" w:cs="Calibri"/>
          <w:color w:val="000000"/>
        </w:rPr>
        <w:t>Emission reductions and removals resulting from projects should be beyond what would have occurred without the project. A conservative business-as-usual scenario should be demonstrated, and it should be ensured that projects are surplus to regulatory requirements.</w:t>
      </w:r>
    </w:p>
    <w:p w14:paraId="2097330F" w14:textId="5C9D8C78" w:rsidR="00F92C63" w:rsidRPr="00106552" w:rsidRDefault="00204988" w:rsidP="00106552">
      <w:pPr>
        <w:pStyle w:val="NormalWeb"/>
        <w:numPr>
          <w:ilvl w:val="0"/>
          <w:numId w:val="9"/>
        </w:numPr>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Measurability. </w:t>
      </w:r>
      <w:r w:rsidRPr="00204988">
        <w:rPr>
          <w:rFonts w:ascii="Calibri" w:hAnsi="Calibri" w:cs="Calibri"/>
          <w:color w:val="000000"/>
        </w:rPr>
        <w:t>Biochar carbon removals should be quantifiable, with data per batch being measured and metadata being captured in the digital protocol, along with adjustments for uncertainty or leakage. It should be ensured that leakage is minimal and adequately addressed, mitigated, and calculated.</w:t>
      </w:r>
    </w:p>
    <w:sectPr w:rsidR="00F92C63" w:rsidRPr="00106552" w:rsidSect="00926664">
      <w:endnotePr>
        <w:numFmt w:val="decimal"/>
      </w:endnotePr>
      <w:pgSz w:w="12240" w:h="15840" w:code="1"/>
      <w:pgMar w:top="1440" w:right="1440" w:bottom="1440" w:left="1440" w:header="720"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C58" w14:textId="77777777" w:rsidR="009B47FB" w:rsidRDefault="009B47FB" w:rsidP="00B14052">
      <w:r>
        <w:separator/>
      </w:r>
    </w:p>
  </w:endnote>
  <w:endnote w:type="continuationSeparator" w:id="0">
    <w:p w14:paraId="71299A8C" w14:textId="77777777" w:rsidR="009B47FB" w:rsidRDefault="009B47FB" w:rsidP="00B1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2372" w14:textId="77777777" w:rsidR="009B47FB" w:rsidRDefault="009B47FB" w:rsidP="00B14052">
      <w:r>
        <w:separator/>
      </w:r>
    </w:p>
  </w:footnote>
  <w:footnote w:type="continuationSeparator" w:id="0">
    <w:p w14:paraId="71817FF1" w14:textId="77777777" w:rsidR="009B47FB" w:rsidRDefault="009B47FB" w:rsidP="00B1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772"/>
    <w:multiLevelType w:val="hybridMultilevel"/>
    <w:tmpl w:val="8E90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1A2D"/>
    <w:multiLevelType w:val="multilevel"/>
    <w:tmpl w:val="D2A465D2"/>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A2086C"/>
    <w:multiLevelType w:val="hybridMultilevel"/>
    <w:tmpl w:val="B3FE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A18"/>
    <w:multiLevelType w:val="hybridMultilevel"/>
    <w:tmpl w:val="DDD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419BB"/>
    <w:multiLevelType w:val="multilevel"/>
    <w:tmpl w:val="A33E1FA0"/>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5" w15:restartNumberingAfterBreak="0">
    <w:nsid w:val="51DE6CC0"/>
    <w:multiLevelType w:val="multilevel"/>
    <w:tmpl w:val="D9F0589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A681CA2"/>
    <w:multiLevelType w:val="multilevel"/>
    <w:tmpl w:val="553439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44229"/>
    <w:multiLevelType w:val="hybridMultilevel"/>
    <w:tmpl w:val="E14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25224">
    <w:abstractNumId w:val="4"/>
  </w:num>
  <w:num w:numId="2" w16cid:durableId="772089086">
    <w:abstractNumId w:val="1"/>
  </w:num>
  <w:num w:numId="3" w16cid:durableId="565652878">
    <w:abstractNumId w:val="5"/>
  </w:num>
  <w:num w:numId="4" w16cid:durableId="369838521">
    <w:abstractNumId w:val="7"/>
  </w:num>
  <w:num w:numId="5" w16cid:durableId="1967929421">
    <w:abstractNumId w:val="3"/>
  </w:num>
  <w:num w:numId="6" w16cid:durableId="509174492">
    <w:abstractNumId w:val="2"/>
  </w:num>
  <w:num w:numId="7" w16cid:durableId="1317146181">
    <w:abstractNumId w:val="6"/>
  </w:num>
  <w:num w:numId="8" w16cid:durableId="1293363584">
    <w:abstractNumId w:val="6"/>
  </w:num>
  <w:num w:numId="9" w16cid:durableId="16786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14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2NTE0NTQ0MjCxNDRQ0lEKTi0uzszPAykwqQUAL4U4piwAAAA="/>
  </w:docVars>
  <w:rsids>
    <w:rsidRoot w:val="00B14052"/>
    <w:rsid w:val="000372C5"/>
    <w:rsid w:val="00037969"/>
    <w:rsid w:val="000B3F6B"/>
    <w:rsid w:val="000C3629"/>
    <w:rsid w:val="00105722"/>
    <w:rsid w:val="00106552"/>
    <w:rsid w:val="001109E4"/>
    <w:rsid w:val="00175422"/>
    <w:rsid w:val="001B27FD"/>
    <w:rsid w:val="001E0E01"/>
    <w:rsid w:val="001E1606"/>
    <w:rsid w:val="00204988"/>
    <w:rsid w:val="00247D4C"/>
    <w:rsid w:val="0025321E"/>
    <w:rsid w:val="002676CA"/>
    <w:rsid w:val="002746A1"/>
    <w:rsid w:val="0029097D"/>
    <w:rsid w:val="00296451"/>
    <w:rsid w:val="003E13CD"/>
    <w:rsid w:val="00414D51"/>
    <w:rsid w:val="00433A4A"/>
    <w:rsid w:val="00442D8D"/>
    <w:rsid w:val="004458E0"/>
    <w:rsid w:val="00480976"/>
    <w:rsid w:val="00496E0E"/>
    <w:rsid w:val="004D54AB"/>
    <w:rsid w:val="004F764B"/>
    <w:rsid w:val="0052587E"/>
    <w:rsid w:val="005A491A"/>
    <w:rsid w:val="005B0D5D"/>
    <w:rsid w:val="006237F7"/>
    <w:rsid w:val="00636B28"/>
    <w:rsid w:val="00663E71"/>
    <w:rsid w:val="006A052D"/>
    <w:rsid w:val="006A732B"/>
    <w:rsid w:val="006C2979"/>
    <w:rsid w:val="006D68E5"/>
    <w:rsid w:val="00751B34"/>
    <w:rsid w:val="00775371"/>
    <w:rsid w:val="007B74ED"/>
    <w:rsid w:val="00815C2C"/>
    <w:rsid w:val="008810A4"/>
    <w:rsid w:val="008D4A6B"/>
    <w:rsid w:val="00926664"/>
    <w:rsid w:val="009A7D16"/>
    <w:rsid w:val="009B47FB"/>
    <w:rsid w:val="009C595D"/>
    <w:rsid w:val="00A14841"/>
    <w:rsid w:val="00A24C8D"/>
    <w:rsid w:val="00A72331"/>
    <w:rsid w:val="00B14052"/>
    <w:rsid w:val="00B727CE"/>
    <w:rsid w:val="00BD7A45"/>
    <w:rsid w:val="00BE318E"/>
    <w:rsid w:val="00C06EB9"/>
    <w:rsid w:val="00C3575E"/>
    <w:rsid w:val="00C400E1"/>
    <w:rsid w:val="00C425A6"/>
    <w:rsid w:val="00C854AB"/>
    <w:rsid w:val="00CA0139"/>
    <w:rsid w:val="00CE556A"/>
    <w:rsid w:val="00D1434D"/>
    <w:rsid w:val="00D659C6"/>
    <w:rsid w:val="00D9787D"/>
    <w:rsid w:val="00DA6E6D"/>
    <w:rsid w:val="00DF13F5"/>
    <w:rsid w:val="00E0241D"/>
    <w:rsid w:val="00E5286A"/>
    <w:rsid w:val="00E60BE2"/>
    <w:rsid w:val="00E931E7"/>
    <w:rsid w:val="00EB01FF"/>
    <w:rsid w:val="00EB2353"/>
    <w:rsid w:val="00F24877"/>
    <w:rsid w:val="00F31F60"/>
    <w:rsid w:val="00F92C6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y-A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5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B14052"/>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4052"/>
  </w:style>
  <w:style w:type="paragraph" w:styleId="NormalWeb">
    <w:name w:val="Normal (Web)"/>
    <w:basedOn w:val="Normal"/>
    <w:uiPriority w:val="99"/>
    <w:rsid w:val="00B14052"/>
    <w:pPr>
      <w:spacing w:before="100" w:beforeAutospacing="1" w:after="100" w:afterAutospacing="1"/>
    </w:pPr>
  </w:style>
  <w:style w:type="character" w:styleId="Hyperlink">
    <w:name w:val="Hyperlink"/>
    <w:uiPriority w:val="99"/>
    <w:rsid w:val="00B14052"/>
    <w:rPr>
      <w:color w:val="0000FF"/>
      <w:u w:val="single"/>
    </w:rPr>
  </w:style>
  <w:style w:type="paragraph" w:styleId="Footer">
    <w:name w:val="footer"/>
    <w:basedOn w:val="Normal"/>
    <w:link w:val="FooterChar"/>
    <w:uiPriority w:val="99"/>
    <w:rsid w:val="00B14052"/>
    <w:pPr>
      <w:tabs>
        <w:tab w:val="center" w:pos="4680"/>
        <w:tab w:val="right" w:pos="9360"/>
      </w:tabs>
    </w:pPr>
  </w:style>
  <w:style w:type="character" w:customStyle="1" w:styleId="FooterChar">
    <w:name w:val="Footer Char"/>
    <w:basedOn w:val="DefaultParagraphFont"/>
    <w:link w:val="Footer"/>
    <w:uiPriority w:val="99"/>
    <w:rsid w:val="00B14052"/>
    <w:rPr>
      <w:rFonts w:ascii="Times New Roman" w:eastAsia="Times New Roman" w:hAnsi="Times New Roman" w:cs="Times New Roman"/>
      <w:kern w:val="0"/>
      <w:sz w:val="24"/>
      <w:szCs w:val="24"/>
      <w:lang w:val="en-US"/>
      <w14:ligatures w14:val="none"/>
    </w:rPr>
  </w:style>
  <w:style w:type="paragraph" w:styleId="EndnoteText">
    <w:name w:val="endnote text"/>
    <w:basedOn w:val="Normal"/>
    <w:link w:val="EndnoteTextChar"/>
    <w:uiPriority w:val="99"/>
    <w:semiHidden/>
    <w:unhideWhenUsed/>
    <w:rsid w:val="00B14052"/>
    <w:rPr>
      <w:sz w:val="20"/>
      <w:szCs w:val="20"/>
    </w:rPr>
  </w:style>
  <w:style w:type="character" w:customStyle="1" w:styleId="EndnoteTextChar">
    <w:name w:val="Endnote Text Char"/>
    <w:basedOn w:val="DefaultParagraphFont"/>
    <w:link w:val="EndnoteText"/>
    <w:uiPriority w:val="99"/>
    <w:semiHidden/>
    <w:rsid w:val="00B14052"/>
    <w:rPr>
      <w:rFonts w:ascii="Times New Roman" w:eastAsia="Times New Roman" w:hAnsi="Times New Roman" w:cs="Times New Roman"/>
      <w:kern w:val="0"/>
      <w:sz w:val="20"/>
      <w:szCs w:val="20"/>
      <w:lang w:val="en-US"/>
      <w14:ligatures w14:val="none"/>
    </w:rPr>
  </w:style>
  <w:style w:type="character" w:styleId="EndnoteReference">
    <w:name w:val="endnote reference"/>
    <w:basedOn w:val="DefaultParagraphFont"/>
    <w:uiPriority w:val="99"/>
    <w:semiHidden/>
    <w:unhideWhenUsed/>
    <w:rsid w:val="00B14052"/>
    <w:rPr>
      <w:vertAlign w:val="superscript"/>
    </w:rPr>
  </w:style>
  <w:style w:type="character" w:customStyle="1" w:styleId="Heading1Char">
    <w:name w:val="Heading 1 Char"/>
    <w:basedOn w:val="DefaultParagraphFont"/>
    <w:link w:val="Heading1"/>
    <w:uiPriority w:val="9"/>
    <w:rsid w:val="00B14052"/>
    <w:rPr>
      <w:rFonts w:ascii="Times New Roman" w:eastAsia="Times New Roman" w:hAnsi="Times New Roman" w:cs="Times New Roman"/>
      <w:b/>
      <w:bCs/>
      <w:kern w:val="32"/>
      <w:sz w:val="28"/>
      <w:szCs w:val="32"/>
      <w:lang w:val="en-US"/>
      <w14:ligatures w14:val="none"/>
    </w:rPr>
  </w:style>
  <w:style w:type="paragraph" w:styleId="ListParagraph">
    <w:name w:val="List Paragraph"/>
    <w:basedOn w:val="Normal"/>
    <w:uiPriority w:val="34"/>
    <w:qFormat/>
    <w:rsid w:val="00B14052"/>
    <w:pPr>
      <w:ind w:left="720"/>
      <w:contextualSpacing/>
    </w:pPr>
  </w:style>
  <w:style w:type="paragraph" w:styleId="BalloonText">
    <w:name w:val="Balloon Text"/>
    <w:basedOn w:val="Normal"/>
    <w:link w:val="BalloonTextChar"/>
    <w:uiPriority w:val="99"/>
    <w:semiHidden/>
    <w:unhideWhenUsed/>
    <w:rsid w:val="00F92C63"/>
    <w:rPr>
      <w:sz w:val="18"/>
      <w:szCs w:val="18"/>
    </w:rPr>
  </w:style>
  <w:style w:type="character" w:customStyle="1" w:styleId="BalloonTextChar">
    <w:name w:val="Balloon Text Char"/>
    <w:basedOn w:val="DefaultParagraphFont"/>
    <w:link w:val="BalloonText"/>
    <w:uiPriority w:val="99"/>
    <w:semiHidden/>
    <w:rsid w:val="00F92C63"/>
    <w:rPr>
      <w:rFonts w:ascii="Times New Roman" w:eastAsia="Times New Roman" w:hAnsi="Times New Roman" w:cs="Times New Roman"/>
      <w:kern w:val="0"/>
      <w:sz w:val="18"/>
      <w:szCs w:val="18"/>
      <w:lang w:val="en-US"/>
      <w14:ligatures w14:val="none"/>
    </w:rPr>
  </w:style>
  <w:style w:type="character" w:styleId="UnresolvedMention">
    <w:name w:val="Unresolved Mention"/>
    <w:basedOn w:val="DefaultParagraphFont"/>
    <w:uiPriority w:val="99"/>
    <w:semiHidden/>
    <w:unhideWhenUsed/>
    <w:rsid w:val="0048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517">
      <w:bodyDiv w:val="1"/>
      <w:marLeft w:val="0"/>
      <w:marRight w:val="0"/>
      <w:marTop w:val="0"/>
      <w:marBottom w:val="0"/>
      <w:divBdr>
        <w:top w:val="none" w:sz="0" w:space="0" w:color="auto"/>
        <w:left w:val="none" w:sz="0" w:space="0" w:color="auto"/>
        <w:bottom w:val="none" w:sz="0" w:space="0" w:color="auto"/>
        <w:right w:val="none" w:sz="0" w:space="0" w:color="auto"/>
      </w:divBdr>
    </w:div>
    <w:div w:id="439030126">
      <w:bodyDiv w:val="1"/>
      <w:marLeft w:val="0"/>
      <w:marRight w:val="0"/>
      <w:marTop w:val="0"/>
      <w:marBottom w:val="0"/>
      <w:divBdr>
        <w:top w:val="none" w:sz="0" w:space="0" w:color="auto"/>
        <w:left w:val="none" w:sz="0" w:space="0" w:color="auto"/>
        <w:bottom w:val="none" w:sz="0" w:space="0" w:color="auto"/>
        <w:right w:val="none" w:sz="0" w:space="0" w:color="auto"/>
      </w:divBdr>
      <w:divsChild>
        <w:div w:id="1291743574">
          <w:marLeft w:val="0"/>
          <w:marRight w:val="0"/>
          <w:marTop w:val="0"/>
          <w:marBottom w:val="0"/>
          <w:divBdr>
            <w:top w:val="none" w:sz="0" w:space="0" w:color="auto"/>
            <w:left w:val="none" w:sz="0" w:space="0" w:color="auto"/>
            <w:bottom w:val="none" w:sz="0" w:space="0" w:color="auto"/>
            <w:right w:val="none" w:sz="0" w:space="0" w:color="auto"/>
          </w:divBdr>
          <w:divsChild>
            <w:div w:id="1828858391">
              <w:marLeft w:val="0"/>
              <w:marRight w:val="0"/>
              <w:marTop w:val="0"/>
              <w:marBottom w:val="0"/>
              <w:divBdr>
                <w:top w:val="none" w:sz="0" w:space="0" w:color="auto"/>
                <w:left w:val="none" w:sz="0" w:space="0" w:color="auto"/>
                <w:bottom w:val="none" w:sz="0" w:space="0" w:color="auto"/>
                <w:right w:val="none" w:sz="0" w:space="0" w:color="auto"/>
              </w:divBdr>
              <w:divsChild>
                <w:div w:id="12202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8857">
      <w:bodyDiv w:val="1"/>
      <w:marLeft w:val="0"/>
      <w:marRight w:val="0"/>
      <w:marTop w:val="0"/>
      <w:marBottom w:val="0"/>
      <w:divBdr>
        <w:top w:val="none" w:sz="0" w:space="0" w:color="auto"/>
        <w:left w:val="none" w:sz="0" w:space="0" w:color="auto"/>
        <w:bottom w:val="none" w:sz="0" w:space="0" w:color="auto"/>
        <w:right w:val="none" w:sz="0" w:space="0" w:color="auto"/>
      </w:divBdr>
    </w:div>
    <w:div w:id="688138928">
      <w:bodyDiv w:val="1"/>
      <w:marLeft w:val="0"/>
      <w:marRight w:val="0"/>
      <w:marTop w:val="0"/>
      <w:marBottom w:val="0"/>
      <w:divBdr>
        <w:top w:val="none" w:sz="0" w:space="0" w:color="auto"/>
        <w:left w:val="none" w:sz="0" w:space="0" w:color="auto"/>
        <w:bottom w:val="none" w:sz="0" w:space="0" w:color="auto"/>
        <w:right w:val="none" w:sz="0" w:space="0" w:color="auto"/>
      </w:divBdr>
    </w:div>
    <w:div w:id="1049374800">
      <w:bodyDiv w:val="1"/>
      <w:marLeft w:val="0"/>
      <w:marRight w:val="0"/>
      <w:marTop w:val="0"/>
      <w:marBottom w:val="0"/>
      <w:divBdr>
        <w:top w:val="none" w:sz="0" w:space="0" w:color="auto"/>
        <w:left w:val="none" w:sz="0" w:space="0" w:color="auto"/>
        <w:bottom w:val="none" w:sz="0" w:space="0" w:color="auto"/>
        <w:right w:val="none" w:sz="0" w:space="0" w:color="auto"/>
      </w:divBdr>
    </w:div>
    <w:div w:id="1154562997">
      <w:bodyDiv w:val="1"/>
      <w:marLeft w:val="0"/>
      <w:marRight w:val="0"/>
      <w:marTop w:val="0"/>
      <w:marBottom w:val="0"/>
      <w:divBdr>
        <w:top w:val="none" w:sz="0" w:space="0" w:color="auto"/>
        <w:left w:val="none" w:sz="0" w:space="0" w:color="auto"/>
        <w:bottom w:val="none" w:sz="0" w:space="0" w:color="auto"/>
        <w:right w:val="none" w:sz="0" w:space="0" w:color="auto"/>
      </w:divBdr>
    </w:div>
    <w:div w:id="1435251434">
      <w:bodyDiv w:val="1"/>
      <w:marLeft w:val="0"/>
      <w:marRight w:val="0"/>
      <w:marTop w:val="0"/>
      <w:marBottom w:val="0"/>
      <w:divBdr>
        <w:top w:val="none" w:sz="0" w:space="0" w:color="auto"/>
        <w:left w:val="none" w:sz="0" w:space="0" w:color="auto"/>
        <w:bottom w:val="none" w:sz="0" w:space="0" w:color="auto"/>
        <w:right w:val="none" w:sz="0" w:space="0" w:color="auto"/>
      </w:divBdr>
    </w:div>
    <w:div w:id="16451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9BAE-1FB1-8647-A389-40693995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2023-07-11T08:39:00Z</dcterms:created>
  <dcterms:modified xsi:type="dcterms:W3CDTF">2023-07-11T08:39:00Z</dcterms:modified>
</cp:coreProperties>
</file>